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E0BAF" w14:textId="6D05B541" w:rsidR="005B0365" w:rsidRPr="00FC7BBB" w:rsidRDefault="005B0365" w:rsidP="005B036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#94</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448AA">
        <w:rPr>
          <w:rFonts w:ascii="Arial" w:hAnsi="Arial" w:cs="Arial"/>
          <w:b/>
          <w:sz w:val="24"/>
        </w:rPr>
        <w:t xml:space="preserve"> R1-1808689</w:t>
      </w:r>
    </w:p>
    <w:p w14:paraId="3BF2EEF9" w14:textId="77777777" w:rsidR="005B0365" w:rsidRPr="00FC7BBB" w:rsidRDefault="005B0365" w:rsidP="005B0365">
      <w:pPr>
        <w:spacing w:after="0"/>
        <w:rPr>
          <w:rFonts w:ascii="Arial" w:hAnsi="Arial" w:cs="Arial"/>
          <w:b/>
          <w:sz w:val="24"/>
        </w:rPr>
      </w:pPr>
      <w:r>
        <w:rPr>
          <w:rFonts w:ascii="Arial" w:hAnsi="Arial" w:cs="Arial"/>
          <w:b/>
          <w:sz w:val="24"/>
          <w:lang w:val="en-US"/>
        </w:rPr>
        <w:t>Gothenburg, Sweden, August 20</w:t>
      </w:r>
      <w:r>
        <w:rPr>
          <w:rFonts w:ascii="Arial" w:hAnsi="Arial" w:cs="Arial"/>
          <w:b/>
          <w:sz w:val="24"/>
          <w:vertAlign w:val="superscript"/>
          <w:lang w:val="en-US"/>
        </w:rPr>
        <w:t>th</w:t>
      </w:r>
      <w:r>
        <w:rPr>
          <w:rFonts w:ascii="Arial" w:hAnsi="Arial" w:cs="Arial"/>
          <w:b/>
          <w:sz w:val="24"/>
          <w:lang w:val="en-US"/>
        </w:rPr>
        <w:t xml:space="preserve"> – 24</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p>
    <w:p w14:paraId="08071A57" w14:textId="3D4D888D" w:rsidR="005B0365" w:rsidRDefault="005B0365" w:rsidP="005B036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7.2.2.5</w:t>
      </w:r>
    </w:p>
    <w:p w14:paraId="138A354E" w14:textId="77777777" w:rsidR="005B0365" w:rsidRPr="0099619E" w:rsidRDefault="005B0365" w:rsidP="005B0365">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382B9F91" w14:textId="698182D7" w:rsidR="005B0365" w:rsidRPr="0099619E" w:rsidRDefault="005B0365" w:rsidP="005B0365">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Pr="005B0365">
        <w:rPr>
          <w:rFonts w:ascii="Arial" w:hAnsi="Arial" w:cs="Arial"/>
          <w:b/>
          <w:bCs/>
          <w:sz w:val="24"/>
          <w:lang w:val="en-US"/>
        </w:rPr>
        <w:t>On the consideration for spatial reuse for NR-unlicensed</w:t>
      </w:r>
    </w:p>
    <w:p w14:paraId="7C955A49" w14:textId="77777777" w:rsidR="005B0365" w:rsidRPr="0099619E" w:rsidRDefault="005B0365" w:rsidP="005B036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72753082" w:rsidR="00396B04" w:rsidRDefault="00396B04" w:rsidP="00396B04">
      <w:r>
        <w:t>In RAN1 #92</w:t>
      </w:r>
      <w:r w:rsidR="00AA1021">
        <w:t>b</w:t>
      </w:r>
      <w:r>
        <w:t>,</w:t>
      </w:r>
      <w:r w:rsidR="00AA1021">
        <w:t xml:space="preserve"> the following</w:t>
      </w:r>
      <w:r w:rsidR="007F490A">
        <w:t xml:space="preserve"> agreement was made [1]: </w:t>
      </w:r>
      <w:bookmarkStart w:id="1" w:name="_GoBack"/>
      <w:bookmarkEnd w:id="1"/>
    </w:p>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4795495E" w14:textId="77777777" w:rsidR="00F770AA" w:rsidRPr="00085D5D" w:rsidRDefault="00F770AA" w:rsidP="00F770AA">
            <w:r w:rsidRPr="00DB483B">
              <w:rPr>
                <w:highlight w:val="green"/>
              </w:rPr>
              <w:t>Agreement:</w:t>
            </w:r>
          </w:p>
          <w:p w14:paraId="452C8878" w14:textId="77777777" w:rsidR="00F770AA" w:rsidRDefault="00F770AA" w:rsidP="00F770AA">
            <w:pPr>
              <w:widowControl w:val="0"/>
              <w:numPr>
                <w:ilvl w:val="0"/>
                <w:numId w:val="31"/>
              </w:numPr>
              <w:spacing w:after="0"/>
              <w:rPr>
                <w:lang w:val="en-US"/>
              </w:rPr>
            </w:pPr>
            <w:r>
              <w:rPr>
                <w:lang w:val="en-US"/>
              </w:rPr>
              <w:t xml:space="preserve">Study possible enhancements for HARQ operation </w:t>
            </w:r>
          </w:p>
          <w:p w14:paraId="587C3DF5" w14:textId="77777777" w:rsidR="00F770AA" w:rsidRPr="0001199A" w:rsidRDefault="00F770AA" w:rsidP="00F770AA">
            <w:pPr>
              <w:widowControl w:val="0"/>
              <w:numPr>
                <w:ilvl w:val="0"/>
                <w:numId w:val="31"/>
              </w:numPr>
              <w:spacing w:after="0"/>
              <w:rPr>
                <w:lang w:val="en-US"/>
              </w:rPr>
            </w:pPr>
            <w:r>
              <w:rPr>
                <w:lang w:val="en-US"/>
              </w:rPr>
              <w:t>Study changes needed for Configured Grant support in NR-U</w:t>
            </w:r>
          </w:p>
          <w:p w14:paraId="0E2C5831" w14:textId="5630B2BC" w:rsidR="00F770AA" w:rsidRPr="00F770AA" w:rsidRDefault="00F770AA" w:rsidP="00F770AA">
            <w:pPr>
              <w:widowControl w:val="0"/>
              <w:numPr>
                <w:ilvl w:val="0"/>
                <w:numId w:val="31"/>
              </w:numPr>
              <w:spacing w:after="0"/>
              <w:rPr>
                <w:lang w:val="en-US"/>
              </w:rPr>
            </w:pPr>
            <w:r>
              <w:rPr>
                <w:lang w:val="en-US"/>
              </w:rPr>
              <w:t xml:space="preserve">Baseline for study: If absence of Wi-Fi cannot be guaranteed (e.g. by regulation) </w:t>
            </w:r>
            <w:r w:rsidRPr="00F770AA">
              <w:rPr>
                <w:lang w:val="en-US"/>
              </w:rPr>
              <w:t xml:space="preserve">in the band (sub-7 GHz) where NR-U is operating, the NR-U operating bandwidth is an integer  multiple of 20MHz </w:t>
            </w:r>
          </w:p>
          <w:p w14:paraId="564002E7" w14:textId="77777777" w:rsidR="00F770AA" w:rsidRDefault="00F770AA" w:rsidP="00F770AA">
            <w:pPr>
              <w:widowControl w:val="0"/>
              <w:numPr>
                <w:ilvl w:val="0"/>
                <w:numId w:val="31"/>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70BC2D1C" w14:textId="77777777" w:rsidR="00F770AA" w:rsidRDefault="00F770AA" w:rsidP="00F770AA">
            <w:pPr>
              <w:widowControl w:val="0"/>
              <w:numPr>
                <w:ilvl w:val="1"/>
                <w:numId w:val="31"/>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7E1B792A" w14:textId="77777777" w:rsidR="00F770AA" w:rsidRDefault="00F770AA" w:rsidP="00F770AA">
            <w:pPr>
              <w:widowControl w:val="0"/>
              <w:numPr>
                <w:ilvl w:val="0"/>
                <w:numId w:val="31"/>
              </w:numPr>
              <w:spacing w:after="0"/>
              <w:rPr>
                <w:lang w:val="en-US"/>
              </w:rPr>
            </w:pPr>
            <w:r>
              <w:rPr>
                <w:lang w:val="en-US"/>
              </w:rPr>
              <w:t>Study whether or not the following techniques enhance performance beyond the baseline LBT mechanisms</w:t>
            </w:r>
          </w:p>
          <w:p w14:paraId="7F0432F8" w14:textId="77777777" w:rsidR="00F770AA" w:rsidRPr="00590BD9" w:rsidRDefault="00F770AA" w:rsidP="00F770AA">
            <w:pPr>
              <w:widowControl w:val="0"/>
              <w:numPr>
                <w:ilvl w:val="1"/>
                <w:numId w:val="31"/>
              </w:numPr>
              <w:spacing w:after="0"/>
              <w:rPr>
                <w:lang w:val="en-US"/>
              </w:rPr>
            </w:pPr>
            <w:r>
              <w:rPr>
                <w:lang w:val="en-US"/>
              </w:rPr>
              <w:t>Techniques to cope with directional antennas/transmissions</w:t>
            </w:r>
          </w:p>
          <w:p w14:paraId="5F2457E4" w14:textId="77777777" w:rsidR="00F770AA" w:rsidRDefault="00F770AA" w:rsidP="00F770AA">
            <w:pPr>
              <w:widowControl w:val="0"/>
              <w:numPr>
                <w:ilvl w:val="1"/>
                <w:numId w:val="31"/>
              </w:numPr>
              <w:spacing w:after="0"/>
              <w:rPr>
                <w:lang w:val="en-US"/>
              </w:rPr>
            </w:pPr>
            <w:r w:rsidRPr="00936AB5">
              <w:rPr>
                <w:lang w:val="en-US"/>
              </w:rPr>
              <w:t>Receiver assisted LBT : RTS/CTS type mechanism</w:t>
            </w:r>
          </w:p>
          <w:p w14:paraId="104CB327" w14:textId="77777777" w:rsidR="00F770AA" w:rsidRDefault="00F770AA" w:rsidP="00F770AA">
            <w:pPr>
              <w:widowControl w:val="0"/>
              <w:numPr>
                <w:ilvl w:val="2"/>
                <w:numId w:val="31"/>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981932A" w14:textId="77777777" w:rsidR="00F770AA" w:rsidRPr="00BB19F3" w:rsidRDefault="00F770AA" w:rsidP="00F770AA">
            <w:pPr>
              <w:widowControl w:val="0"/>
              <w:numPr>
                <w:ilvl w:val="1"/>
                <w:numId w:val="31"/>
              </w:numPr>
              <w:spacing w:after="0"/>
              <w:rPr>
                <w:lang w:val="en-US"/>
              </w:rPr>
            </w:pPr>
            <w:r>
              <w:rPr>
                <w:lang w:val="en-US"/>
              </w:rPr>
              <w:t xml:space="preserve">Techniques to enhance spatial reuse </w:t>
            </w:r>
          </w:p>
          <w:p w14:paraId="2AF7B4B6" w14:textId="77777777" w:rsidR="00F770AA" w:rsidRDefault="00F770AA" w:rsidP="00F770AA">
            <w:pPr>
              <w:widowControl w:val="0"/>
              <w:numPr>
                <w:ilvl w:val="1"/>
                <w:numId w:val="31"/>
              </w:numPr>
              <w:spacing w:after="0"/>
              <w:rPr>
                <w:lang w:val="en-US"/>
              </w:rPr>
            </w:pPr>
            <w:r>
              <w:rPr>
                <w:lang w:val="en-US"/>
              </w:rPr>
              <w:t>Preamble detection</w:t>
            </w:r>
          </w:p>
          <w:p w14:paraId="7BDC66A8" w14:textId="77777777" w:rsidR="00F770AA" w:rsidRPr="004B7F1F" w:rsidRDefault="00F770AA" w:rsidP="00F770AA">
            <w:pPr>
              <w:widowControl w:val="0"/>
              <w:numPr>
                <w:ilvl w:val="1"/>
                <w:numId w:val="31"/>
              </w:numPr>
              <w:spacing w:after="0"/>
              <w:rPr>
                <w:lang w:val="en-US"/>
              </w:rPr>
            </w:pPr>
            <w:r>
              <w:rPr>
                <w:lang w:val="en-US"/>
              </w:rPr>
              <w:t>Enhancements to baseline LBT mechanisms above 7 GHz</w:t>
            </w:r>
          </w:p>
          <w:p w14:paraId="515B323E" w14:textId="77777777" w:rsidR="00F770AA" w:rsidRDefault="00F770AA" w:rsidP="00F770AA">
            <w:pPr>
              <w:widowControl w:val="0"/>
              <w:numPr>
                <w:ilvl w:val="0"/>
                <w:numId w:val="31"/>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45E10D0A" w14:textId="336F3EB6" w:rsidR="00F770AA" w:rsidRPr="00F770AA" w:rsidRDefault="00F770AA" w:rsidP="00F770AA">
            <w:pPr>
              <w:widowControl w:val="0"/>
              <w:numPr>
                <w:ilvl w:val="0"/>
                <w:numId w:val="31"/>
              </w:numPr>
              <w:rPr>
                <w:lang w:val="en-US"/>
              </w:rPr>
            </w:pPr>
            <w:r>
              <w:rPr>
                <w:lang w:val="en-US"/>
              </w:rPr>
              <w:t>Note: Other aspects are not precluded from being included</w:t>
            </w:r>
          </w:p>
        </w:tc>
      </w:tr>
    </w:tbl>
    <w:p w14:paraId="19060C4F" w14:textId="77777777" w:rsidR="00F770AA" w:rsidRDefault="00F770AA" w:rsidP="00396B04"/>
    <w:p w14:paraId="2C03EF22" w14:textId="0986E7D7" w:rsidR="00F770AA" w:rsidRDefault="00F770AA" w:rsidP="00396B04">
      <w:r>
        <w:t xml:space="preserve">As it is captured in the above agreement, </w:t>
      </w:r>
      <w:r w:rsidR="00564316">
        <w:t xml:space="preserve">techniques to enhance spatial reuse is to be studied in the </w:t>
      </w:r>
      <w:r w:rsidR="00B530F8">
        <w:t xml:space="preserve">scope of this SI. </w:t>
      </w:r>
    </w:p>
    <w:p w14:paraId="1729F230" w14:textId="187D7165" w:rsidR="00B530F8" w:rsidRPr="00327510" w:rsidRDefault="00564316" w:rsidP="00B530F8">
      <w:pPr>
        <w:pStyle w:val="Heading1"/>
        <w:keepNext w:val="0"/>
        <w:widowControl w:val="0"/>
        <w:spacing w:before="480" w:after="120"/>
        <w:ind w:left="518" w:hanging="518"/>
        <w:rPr>
          <w:sz w:val="28"/>
        </w:rPr>
      </w:pPr>
      <w:r>
        <w:rPr>
          <w:sz w:val="28"/>
        </w:rPr>
        <w:t>IEEE 802.11ax spatial reuse schemes</w:t>
      </w:r>
    </w:p>
    <w:p w14:paraId="2A06572D" w14:textId="0A95EA5C" w:rsidR="004D3471" w:rsidRDefault="002979F8" w:rsidP="004D3471">
      <w:pPr>
        <w:spacing w:before="120" w:after="0"/>
      </w:pPr>
      <w:r>
        <w:t xml:space="preserve">This section begins with a brief overview of the development made in IEEE P802.11ax on spatial reuse </w:t>
      </w:r>
      <w:r w:rsidR="00564316">
        <w:t>[2].</w:t>
      </w:r>
      <w:r w:rsidR="004D3471">
        <w:t xml:space="preserve"> One of important design aspects of IEEE P802.11ax has been the improvement of Wi-Fi efficiency. The current CSMA/CA based channel access mechanism based on energy detection (ED) and preamble detection (PD) </w:t>
      </w:r>
      <w:r w:rsidR="00A54FE5">
        <w:t xml:space="preserve">has </w:t>
      </w:r>
      <w:r w:rsidR="004D3471">
        <w:t xml:space="preserve">been very successful over almost two decades since the advent of Wi-Fi technology as a means to enable distributed link scheduling in an uncoordinated network. However, although the current mechanism provides an effective way of avoiding collisions, it can be overly conservative in the sense that the preamble transmission can silence wide neighbourhood within the reception range. This conservativeness in the used channel access mechanism </w:t>
      </w:r>
      <w:r w:rsidR="00A54FE5">
        <w:t xml:space="preserve">has </w:t>
      </w:r>
      <w:r w:rsidR="004D3471">
        <w:t>resulted in a lack of scalability when operating Wi-Fi in highly dense network deployment</w:t>
      </w:r>
      <w:r w:rsidR="00A54FE5">
        <w:t>s,</w:t>
      </w:r>
      <w:r w:rsidR="004D3471">
        <w:t xml:space="preserve"> such as stadiums. </w:t>
      </w:r>
    </w:p>
    <w:p w14:paraId="7F51EE76" w14:textId="76ACE3B7" w:rsidR="00564316" w:rsidRDefault="004D3471" w:rsidP="00AA711C">
      <w:pPr>
        <w:pStyle w:val="ListParagraph"/>
        <w:spacing w:before="120" w:after="0"/>
        <w:ind w:left="0"/>
      </w:pPr>
      <w:r>
        <w:t xml:space="preserve">In this regard, IEEE P802.11ax </w:t>
      </w:r>
      <w:r w:rsidR="00A54FE5">
        <w:t xml:space="preserve">has </w:t>
      </w:r>
      <w:r w:rsidR="00D640F4">
        <w:t>been</w:t>
      </w:r>
      <w:r>
        <w:t xml:space="preserve"> developing spatial reuse schemes in order to improve existing CSMA/CA based channel access mechanism.</w:t>
      </w:r>
      <w:r w:rsidR="00D640F4">
        <w:t xml:space="preserve"> Two schemes are agreed to be supported:</w:t>
      </w:r>
    </w:p>
    <w:p w14:paraId="4E305E63" w14:textId="1D876F48" w:rsidR="00D640F4" w:rsidRPr="00D640F4" w:rsidRDefault="00D640F4" w:rsidP="00D640F4">
      <w:pPr>
        <w:pStyle w:val="ListParagraph"/>
        <w:numPr>
          <w:ilvl w:val="0"/>
          <w:numId w:val="32"/>
        </w:numPr>
        <w:spacing w:before="120" w:after="0"/>
      </w:pPr>
      <w:r w:rsidRPr="00D640F4">
        <w:t xml:space="preserve">OBSS_PD </w:t>
      </w:r>
      <w:r>
        <w:t>mode</w:t>
      </w:r>
    </w:p>
    <w:p w14:paraId="30A1E1F2" w14:textId="77777777" w:rsidR="00D640F4" w:rsidRDefault="00D640F4" w:rsidP="00D640F4">
      <w:pPr>
        <w:pStyle w:val="ListParagraph"/>
        <w:numPr>
          <w:ilvl w:val="0"/>
          <w:numId w:val="32"/>
        </w:numPr>
        <w:spacing w:before="120" w:after="0"/>
      </w:pPr>
      <w:r w:rsidRPr="00D640F4">
        <w:t>SRP mode</w:t>
      </w:r>
    </w:p>
    <w:p w14:paraId="776FC1A4" w14:textId="6A11B35B" w:rsidR="001F28B2" w:rsidRPr="00D640F4" w:rsidRDefault="001F28B2" w:rsidP="001F28B2">
      <w:pPr>
        <w:spacing w:before="120" w:after="0"/>
      </w:pPr>
      <w:r>
        <w:t xml:space="preserve">Both </w:t>
      </w:r>
      <w:r w:rsidR="00E93D46">
        <w:t xml:space="preserve">modes are currently based on inter-BSS detection. </w:t>
      </w:r>
    </w:p>
    <w:p w14:paraId="68289EC3" w14:textId="5A727450" w:rsidR="00D640F4" w:rsidRPr="00327510" w:rsidRDefault="00D640F4" w:rsidP="00D640F4">
      <w:pPr>
        <w:pStyle w:val="Heading2"/>
      </w:pPr>
      <w:r>
        <w:lastRenderedPageBreak/>
        <w:t>OBSS_PD mode</w:t>
      </w:r>
    </w:p>
    <w:p w14:paraId="6C1DFE03" w14:textId="40C5EBA3" w:rsidR="00AA593C" w:rsidRDefault="00D640F4" w:rsidP="00AA593C">
      <w:pPr>
        <w:spacing w:before="120" w:after="0"/>
      </w:pPr>
      <w:r>
        <w:t>One of such spatial reuse scheme</w:t>
      </w:r>
      <w:r w:rsidR="00A54FE5">
        <w:t>s</w:t>
      </w:r>
      <w:r>
        <w:t xml:space="preserve"> is the so-called OBSS_PD-based spatial reuse, which adjusts the PD level with respect to the transmit power. </w:t>
      </w:r>
      <w:r w:rsidR="00AA593C">
        <w:t xml:space="preserve">The procedure of OBSS_PD-based spatial reuse is such that when an OBSS PPDU above PD level is detected, the channel is busy </w:t>
      </w:r>
      <w:r w:rsidR="00A54FE5">
        <w:t xml:space="preserve">so </w:t>
      </w:r>
      <w:r w:rsidR="00AA593C">
        <w:t xml:space="preserve">that the decrementing </w:t>
      </w:r>
      <w:proofErr w:type="spellStart"/>
      <w:r w:rsidR="00AA593C">
        <w:t>backoff</w:t>
      </w:r>
      <w:proofErr w:type="spellEnd"/>
      <w:r w:rsidR="00AA593C">
        <w:t xml:space="preserve"> counter will be paused. During the SIG field decoding, if certain conditions are met (such as the transmitting device indicates that spatial reuse is allowed and the received PPDU is an inter-BSS PPDU and is not a non-HT PPDU carrying a response frame, etc.), it can be decided that spatial reuse is allowed and the </w:t>
      </w:r>
      <w:proofErr w:type="spellStart"/>
      <w:r w:rsidR="00AA593C">
        <w:t>OBSS_PD</w:t>
      </w:r>
      <w:r w:rsidR="00AA593C" w:rsidRPr="001666A2">
        <w:rPr>
          <w:vertAlign w:val="subscript"/>
        </w:rPr>
        <w:t>Level</w:t>
      </w:r>
      <w:proofErr w:type="spellEnd"/>
      <w:r w:rsidR="00AA593C">
        <w:t xml:space="preserve"> can be adjusted accordingly. </w:t>
      </w:r>
    </w:p>
    <w:p w14:paraId="3FAC6416" w14:textId="77777777" w:rsidR="00AA593C" w:rsidRDefault="00AA593C" w:rsidP="00AA593C">
      <w:pPr>
        <w:spacing w:before="120" w:after="0"/>
      </w:pPr>
    </w:p>
    <w:p w14:paraId="426299C6" w14:textId="6A8D8849" w:rsidR="00AA593C" w:rsidRDefault="00AA593C" w:rsidP="00B33E1F">
      <w:pPr>
        <w:spacing w:before="120" w:after="0"/>
        <w:jc w:val="center"/>
      </w:pPr>
      <w:r w:rsidRPr="00AA593C">
        <w:rPr>
          <w:noProof/>
          <w:lang w:val="en-US" w:eastAsia="ko-KR"/>
        </w:rPr>
        <w:drawing>
          <wp:inline distT="0" distB="0" distL="0" distR="0" wp14:anchorId="5FE9FCA3" wp14:editId="087779EF">
            <wp:extent cx="3570428" cy="1540184"/>
            <wp:effectExtent l="0" t="0" r="0" b="3175"/>
            <wp:docPr id="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pic:cNvPicPr>
                      <a:picLocks noChangeAspect="1"/>
                    </pic:cNvPicPr>
                  </pic:nvPicPr>
                  <pic:blipFill>
                    <a:blip r:embed="rId12"/>
                    <a:stretch>
                      <a:fillRect/>
                    </a:stretch>
                  </pic:blipFill>
                  <pic:spPr>
                    <a:xfrm>
                      <a:off x="0" y="0"/>
                      <a:ext cx="3592631" cy="1549762"/>
                    </a:xfrm>
                    <a:prstGeom prst="rect">
                      <a:avLst/>
                    </a:prstGeom>
                  </pic:spPr>
                </pic:pic>
              </a:graphicData>
            </a:graphic>
          </wp:inline>
        </w:drawing>
      </w:r>
    </w:p>
    <w:p w14:paraId="6A89C54A" w14:textId="6BC2E83A" w:rsidR="00AA593C" w:rsidRPr="00F44156" w:rsidRDefault="00AA593C" w:rsidP="00AA593C">
      <w:pPr>
        <w:pStyle w:val="ListParagraph"/>
        <w:spacing w:before="120" w:after="0"/>
        <w:ind w:left="0"/>
        <w:jc w:val="center"/>
        <w:rPr>
          <w:b/>
        </w:rPr>
      </w:pPr>
      <w:r w:rsidRPr="00F44156">
        <w:rPr>
          <w:b/>
        </w:rPr>
        <w:t xml:space="preserve">Figure 1. </w:t>
      </w:r>
      <w:r>
        <w:rPr>
          <w:b/>
        </w:rPr>
        <w:t>IEEE 802.11ax OBSS_PD SR operation</w:t>
      </w:r>
    </w:p>
    <w:p w14:paraId="50C3D1A7" w14:textId="77777777" w:rsidR="00AA593C" w:rsidRDefault="00AA593C" w:rsidP="00AA593C">
      <w:pPr>
        <w:spacing w:before="120" w:after="0"/>
      </w:pPr>
    </w:p>
    <w:p w14:paraId="22740157" w14:textId="32D8B397" w:rsidR="00D640F4" w:rsidRDefault="00B33E1F" w:rsidP="00D640F4">
      <w:pPr>
        <w:spacing w:before="120" w:after="0"/>
      </w:pPr>
      <w:r>
        <w:t>The</w:t>
      </w:r>
      <w:r w:rsidR="00AA593C">
        <w:t xml:space="preserve"> </w:t>
      </w:r>
      <w:proofErr w:type="spellStart"/>
      <w:r w:rsidR="00AA593C">
        <w:t>OBSS_PD</w:t>
      </w:r>
      <w:r w:rsidR="00AA593C" w:rsidRPr="001666A2">
        <w:rPr>
          <w:vertAlign w:val="subscript"/>
        </w:rPr>
        <w:t>Level</w:t>
      </w:r>
      <w:proofErr w:type="spellEnd"/>
      <w:r w:rsidR="00AA593C">
        <w:t xml:space="preserve"> can be raised in accordance with the transmit power </w:t>
      </w:r>
      <w:r>
        <w:t>as described</w:t>
      </w:r>
      <w:r w:rsidR="00A54FE5">
        <w:t xml:space="preserve"> </w:t>
      </w:r>
      <w:r>
        <w:t xml:space="preserve">in the following equation </w:t>
      </w:r>
      <w:r w:rsidR="00AA593C">
        <w:t xml:space="preserve">and the device may continue to decrement the </w:t>
      </w:r>
      <w:proofErr w:type="spellStart"/>
      <w:r w:rsidR="00AA593C">
        <w:t>backoff</w:t>
      </w:r>
      <w:proofErr w:type="spellEnd"/>
      <w:r w:rsidR="00AA593C">
        <w:t xml:space="preserve"> counter, if the detected PD level is below the adjusted </w:t>
      </w:r>
      <w:proofErr w:type="spellStart"/>
      <w:r w:rsidR="00AA593C">
        <w:t>OBSS_PD</w:t>
      </w:r>
      <w:r w:rsidR="00AA593C" w:rsidRPr="001666A2">
        <w:rPr>
          <w:vertAlign w:val="subscript"/>
        </w:rPr>
        <w:t>Level</w:t>
      </w:r>
      <w:proofErr w:type="spellEnd"/>
      <w:r w:rsidR="00AA593C">
        <w:t>.</w:t>
      </w:r>
    </w:p>
    <w:p w14:paraId="6547AF03" w14:textId="77777777" w:rsidR="00B33E1F" w:rsidRPr="00F30017" w:rsidRDefault="008D2BD9" w:rsidP="00B33E1F">
      <w:pPr>
        <w:spacing w:before="120" w:after="0"/>
      </w:pPr>
      <m:oMathPara>
        <m:oMath>
          <m:sSub>
            <m:sSubPr>
              <m:ctrlPr>
                <w:rPr>
                  <w:rFonts w:ascii="Cambria Math" w:hAnsi="Cambria Math"/>
                  <w:i/>
                </w:rPr>
              </m:ctrlPr>
            </m:sSubPr>
            <m:e>
              <m:r>
                <w:rPr>
                  <w:rFonts w:ascii="Cambria Math" w:hAnsi="Cambria Math"/>
                </w:rPr>
                <m:t>OBSS_PD</m:t>
              </m:r>
            </m:e>
            <m:sub>
              <m:r>
                <w:rPr>
                  <w:rFonts w:ascii="Cambria Math" w:hAnsi="Cambria Math"/>
                </w:rPr>
                <m:t>LEVEL</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max</m:t>
                      </m:r>
                    </m:sub>
                  </m:sSub>
                  <m:r>
                    <w:rPr>
                      <w:rFonts w:ascii="Cambria Math" w:hAnsi="Cambria Math"/>
                    </w:rPr>
                    <m:t xml:space="preserve">, </m:t>
                  </m:r>
                  <m:sSub>
                    <m:sSubPr>
                      <m:ctrlPr>
                        <w:rPr>
                          <w:rFonts w:ascii="Cambria Math" w:hAnsi="Cambria Math"/>
                          <w:i/>
                        </w:rPr>
                      </m:ctrlPr>
                    </m:sSubPr>
                    <m:e>
                      <m:r>
                        <w:rPr>
                          <w:rFonts w:ascii="Cambria Math" w:hAnsi="Cambria Math"/>
                        </w:rPr>
                        <m:t>OBS</m:t>
                      </m:r>
                      <m:sSub>
                        <m:sSubPr>
                          <m:ctrlPr>
                            <w:rPr>
                              <w:rFonts w:ascii="Cambria Math" w:hAnsi="Cambria Math"/>
                              <w:i/>
                            </w:rPr>
                          </m:ctrlPr>
                        </m:sSubPr>
                        <m:e>
                          <m:r>
                            <w:rPr>
                              <w:rFonts w:ascii="Cambria Math" w:hAnsi="Cambria Math"/>
                            </w:rPr>
                            <m:t>S</m:t>
                          </m:r>
                        </m:e>
                        <m:sub>
                          <m:r>
                            <w:rPr>
                              <w:rFonts w:ascii="Cambria Math" w:hAnsi="Cambria Math"/>
                            </w:rPr>
                            <m:t>PD</m:t>
                          </m:r>
                        </m:sub>
                      </m:sSub>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PWR</m:t>
                          </m:r>
                        </m:sub>
                      </m:sSub>
                    </m:e>
                    <m:sub>
                      <m:r>
                        <w:rPr>
                          <w:rFonts w:ascii="Cambria Math" w:hAnsi="Cambria Math"/>
                        </w:rPr>
                        <m:t>ref</m:t>
                      </m:r>
                    </m:sub>
                  </m:sSub>
                  <m:r>
                    <w:rPr>
                      <w:rFonts w:ascii="Cambria Math" w:hAnsi="Cambria Math"/>
                    </w:rPr>
                    <m:t>-TX_PWR))</m:t>
                  </m:r>
                </m:e>
              </m:func>
              <m:r>
                <w:rPr>
                  <w:rFonts w:ascii="Cambria Math" w:hAnsi="Cambria Math"/>
                </w:rPr>
                <m:t>)</m:t>
              </m:r>
            </m:e>
          </m:func>
        </m:oMath>
      </m:oMathPara>
    </w:p>
    <w:p w14:paraId="0EEFFBDA" w14:textId="302718B4" w:rsidR="00B33E1F" w:rsidRDefault="00B33E1F" w:rsidP="00D640F4">
      <w:pPr>
        <w:spacing w:before="120" w:after="0"/>
      </w:pPr>
      <w:proofErr w:type="gramStart"/>
      <w:r>
        <w:t>where</w:t>
      </w:r>
      <w:proofErr w:type="gramEnd"/>
      <w:r>
        <w:t xml:space="preserve"> </w:t>
      </w:r>
      <w:r w:rsidRPr="00B33E1F">
        <w:rPr>
          <w:i/>
        </w:rPr>
        <w:t>OBSS_PD</w:t>
      </w:r>
      <w:r w:rsidRPr="00B33E1F">
        <w:rPr>
          <w:i/>
          <w:vertAlign w:val="subscript"/>
        </w:rPr>
        <w:t>LEVEL</w:t>
      </w:r>
      <w:r>
        <w:t xml:space="preserve"> is upper and lower bounded by </w:t>
      </w:r>
      <w:proofErr w:type="spellStart"/>
      <w:r w:rsidRPr="00B33E1F">
        <w:rPr>
          <w:i/>
        </w:rPr>
        <w:t>OBSS</w:t>
      </w:r>
      <w:r w:rsidRPr="00B33E1F">
        <w:rPr>
          <w:i/>
          <w:vertAlign w:val="subscript"/>
        </w:rPr>
        <w:t>PDmax</w:t>
      </w:r>
      <w:proofErr w:type="spellEnd"/>
      <w:r>
        <w:t xml:space="preserve"> and </w:t>
      </w:r>
      <w:proofErr w:type="spellStart"/>
      <w:r w:rsidRPr="00B33E1F">
        <w:rPr>
          <w:i/>
        </w:rPr>
        <w:t>OBSS</w:t>
      </w:r>
      <w:r w:rsidRPr="00B33E1F">
        <w:rPr>
          <w:i/>
          <w:vertAlign w:val="subscript"/>
        </w:rPr>
        <w:t>PDmin</w:t>
      </w:r>
      <w:proofErr w:type="spellEnd"/>
      <w:r w:rsidR="000D0421">
        <w:t xml:space="preserve">, respectively. The following figure illustrates the adjustment of </w:t>
      </w:r>
      <w:r w:rsidR="000D0421" w:rsidRPr="00B33E1F">
        <w:rPr>
          <w:i/>
        </w:rPr>
        <w:t>OBSS_PD</w:t>
      </w:r>
      <w:r w:rsidR="000D0421" w:rsidRPr="00B33E1F">
        <w:rPr>
          <w:i/>
          <w:vertAlign w:val="subscript"/>
        </w:rPr>
        <w:t>LEVEL</w:t>
      </w:r>
      <w:r w:rsidR="000D0421">
        <w:t xml:space="preserve"> for the default parameters [2]. </w:t>
      </w:r>
    </w:p>
    <w:p w14:paraId="100D72E0" w14:textId="77777777" w:rsidR="000D0421" w:rsidRDefault="000D0421" w:rsidP="00D640F4">
      <w:pPr>
        <w:spacing w:before="120" w:after="0"/>
      </w:pPr>
    </w:p>
    <w:p w14:paraId="38F58A86" w14:textId="631C55BE" w:rsidR="00D640F4" w:rsidRDefault="000D0421" w:rsidP="000D0421">
      <w:pPr>
        <w:spacing w:before="120" w:after="0"/>
        <w:jc w:val="center"/>
      </w:pPr>
      <w:r w:rsidRPr="000D0421">
        <w:rPr>
          <w:noProof/>
          <w:lang w:val="en-US" w:eastAsia="ko-KR"/>
        </w:rPr>
        <w:drawing>
          <wp:inline distT="0" distB="0" distL="0" distR="0" wp14:anchorId="51123BA7" wp14:editId="40097A14">
            <wp:extent cx="3346524" cy="212396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3346524" cy="2123967"/>
                    </a:xfrm>
                    <a:prstGeom prst="rect">
                      <a:avLst/>
                    </a:prstGeom>
                  </pic:spPr>
                </pic:pic>
              </a:graphicData>
            </a:graphic>
          </wp:inline>
        </w:drawing>
      </w:r>
    </w:p>
    <w:p w14:paraId="536D0F39" w14:textId="50DFA5BC" w:rsidR="000D0421" w:rsidRPr="00F44156" w:rsidRDefault="000D0421" w:rsidP="000D0421">
      <w:pPr>
        <w:pStyle w:val="ListParagraph"/>
        <w:spacing w:before="120" w:after="0"/>
        <w:ind w:left="0"/>
        <w:jc w:val="center"/>
        <w:rPr>
          <w:b/>
        </w:rPr>
      </w:pPr>
      <w:r w:rsidRPr="00F44156">
        <w:rPr>
          <w:b/>
        </w:rPr>
        <w:t xml:space="preserve">Figure </w:t>
      </w:r>
      <w:r w:rsidR="00AC600F">
        <w:rPr>
          <w:b/>
        </w:rPr>
        <w:t>2</w:t>
      </w:r>
      <w:r w:rsidRPr="00F44156">
        <w:rPr>
          <w:b/>
        </w:rPr>
        <w:t xml:space="preserve">. </w:t>
      </w:r>
      <w:r>
        <w:rPr>
          <w:b/>
        </w:rPr>
        <w:t>IEEE 802.11ax OBSS_PD</w:t>
      </w:r>
      <w:r w:rsidR="00AC600F" w:rsidRPr="00AC600F">
        <w:rPr>
          <w:b/>
          <w:vertAlign w:val="subscript"/>
        </w:rPr>
        <w:t>LEVEL</w:t>
      </w:r>
      <w:r w:rsidR="00AC600F">
        <w:rPr>
          <w:b/>
        </w:rPr>
        <w:t xml:space="preserve"> adjustment according to the transmit power</w:t>
      </w:r>
    </w:p>
    <w:p w14:paraId="4B10828C" w14:textId="77777777" w:rsidR="000D0421" w:rsidRDefault="000D0421" w:rsidP="00D640F4">
      <w:pPr>
        <w:spacing w:before="120" w:after="0"/>
      </w:pPr>
    </w:p>
    <w:p w14:paraId="2D3799B0" w14:textId="5B76A6C7" w:rsidR="00D43461" w:rsidRPr="00327510" w:rsidRDefault="00D43461" w:rsidP="00D43461">
      <w:pPr>
        <w:pStyle w:val="Heading2"/>
      </w:pPr>
      <w:r>
        <w:t>SRP mode</w:t>
      </w:r>
    </w:p>
    <w:p w14:paraId="4A1DDF61" w14:textId="3805EDD9" w:rsidR="00B05A41" w:rsidRDefault="00D43461" w:rsidP="00D43461">
      <w:pPr>
        <w:spacing w:before="120" w:after="0"/>
      </w:pPr>
      <w:r>
        <w:t>One of the other spatial reuse scheme</w:t>
      </w:r>
      <w:r w:rsidR="00BE7DC1">
        <w:t>s</w:t>
      </w:r>
      <w:r>
        <w:t xml:space="preserve"> considered in the IEEE 802.11ax is the so-called SRP mode</w:t>
      </w:r>
      <w:r w:rsidR="00BF2805">
        <w:t xml:space="preserve">, which </w:t>
      </w:r>
      <w:r w:rsidR="00B05A41">
        <w:t xml:space="preserve">utilizes </w:t>
      </w:r>
      <w:r w:rsidR="00BF2805">
        <w:t>the transmission power level adjustment based on</w:t>
      </w:r>
      <w:r w:rsidR="00BF2805" w:rsidRPr="00BF2805">
        <w:t xml:space="preserve"> specific information of path losses and acceptable receiver interference level to protect the receiver of the on-going transmission</w:t>
      </w:r>
      <w:r w:rsidR="00B05A41">
        <w:t xml:space="preserve"> [2].</w:t>
      </w:r>
    </w:p>
    <w:p w14:paraId="27586FF8" w14:textId="77777777" w:rsidR="00B05A41" w:rsidRDefault="00B05A41" w:rsidP="00D43461">
      <w:pPr>
        <w:spacing w:before="120" w:after="0"/>
      </w:pPr>
    </w:p>
    <w:p w14:paraId="461A8B7A" w14:textId="770F7716" w:rsidR="004345C4" w:rsidRPr="00BF2805" w:rsidRDefault="00B05A41" w:rsidP="00D43461">
      <w:pPr>
        <w:spacing w:before="120" w:after="0"/>
        <w:rPr>
          <w:lang w:val="en-US"/>
        </w:rPr>
      </w:pPr>
      <w:r>
        <w:t xml:space="preserve"> </w:t>
      </w:r>
    </w:p>
    <w:p w14:paraId="6EC19E19" w14:textId="77777777" w:rsidR="004345C4" w:rsidRDefault="004345C4" w:rsidP="00D43461">
      <w:pPr>
        <w:spacing w:before="120" w:after="0"/>
      </w:pPr>
    </w:p>
    <w:p w14:paraId="16F73455" w14:textId="77777777" w:rsidR="00BB72CE" w:rsidRDefault="00BB72CE" w:rsidP="00BB72CE">
      <w:pPr>
        <w:pStyle w:val="ListParagraph"/>
        <w:spacing w:before="120" w:after="0"/>
        <w:ind w:left="0"/>
        <w:jc w:val="center"/>
        <w:rPr>
          <w:b/>
        </w:rPr>
      </w:pPr>
      <w:r w:rsidRPr="00BB72CE">
        <w:rPr>
          <w:noProof/>
          <w:lang w:val="en-US" w:eastAsia="ko-KR"/>
        </w:rPr>
        <w:lastRenderedPageBreak/>
        <w:drawing>
          <wp:inline distT="0" distB="0" distL="0" distR="0" wp14:anchorId="6956928D" wp14:editId="36E73CEE">
            <wp:extent cx="2127966" cy="1999484"/>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14"/>
                    <a:stretch>
                      <a:fillRect/>
                    </a:stretch>
                  </pic:blipFill>
                  <pic:spPr>
                    <a:xfrm>
                      <a:off x="0" y="0"/>
                      <a:ext cx="2133898" cy="2005057"/>
                    </a:xfrm>
                    <a:prstGeom prst="rect">
                      <a:avLst/>
                    </a:prstGeom>
                  </pic:spPr>
                </pic:pic>
              </a:graphicData>
            </a:graphic>
          </wp:inline>
        </w:drawing>
      </w:r>
      <w:r w:rsidRPr="00BB72CE">
        <w:rPr>
          <w:b/>
        </w:rPr>
        <w:t xml:space="preserve"> </w:t>
      </w:r>
    </w:p>
    <w:p w14:paraId="0F1ADCBE" w14:textId="77777777" w:rsidR="00BB72CE" w:rsidRDefault="00BB72CE" w:rsidP="00BB72CE">
      <w:pPr>
        <w:pStyle w:val="ListParagraph"/>
        <w:spacing w:before="120" w:after="0"/>
        <w:ind w:left="0"/>
        <w:jc w:val="center"/>
        <w:rPr>
          <w:b/>
        </w:rPr>
      </w:pPr>
    </w:p>
    <w:p w14:paraId="39C09B19" w14:textId="54695138" w:rsidR="00BB72CE" w:rsidRPr="00F44156" w:rsidRDefault="00BB72CE" w:rsidP="00BB72CE">
      <w:pPr>
        <w:pStyle w:val="ListParagraph"/>
        <w:spacing w:before="120" w:after="0"/>
        <w:ind w:left="0"/>
        <w:jc w:val="center"/>
        <w:rPr>
          <w:b/>
        </w:rPr>
      </w:pPr>
      <w:r w:rsidRPr="00F44156">
        <w:rPr>
          <w:b/>
        </w:rPr>
        <w:t xml:space="preserve">Figure </w:t>
      </w:r>
      <w:r>
        <w:rPr>
          <w:b/>
        </w:rPr>
        <w:t>3</w:t>
      </w:r>
      <w:r w:rsidRPr="00F44156">
        <w:rPr>
          <w:b/>
        </w:rPr>
        <w:t xml:space="preserve">. </w:t>
      </w:r>
      <w:r>
        <w:rPr>
          <w:b/>
        </w:rPr>
        <w:t xml:space="preserve">IEEE 802.11ax </w:t>
      </w:r>
      <w:r w:rsidR="00FD47F9">
        <w:rPr>
          <w:b/>
        </w:rPr>
        <w:t xml:space="preserve">SRP operation </w:t>
      </w:r>
    </w:p>
    <w:p w14:paraId="14DB04EB" w14:textId="1BDF874F" w:rsidR="004345C4" w:rsidRDefault="004345C4" w:rsidP="00BB72CE">
      <w:pPr>
        <w:spacing w:before="120" w:after="0"/>
        <w:jc w:val="center"/>
      </w:pPr>
    </w:p>
    <w:p w14:paraId="55762F16" w14:textId="56827379" w:rsidR="00995DB2" w:rsidRDefault="00995DB2" w:rsidP="00D43461">
      <w:pPr>
        <w:spacing w:before="120" w:after="0"/>
      </w:pPr>
      <w:r>
        <w:t>As illustrated in the figure above, a t</w:t>
      </w:r>
      <w:r w:rsidRPr="00995DB2">
        <w:t>rigger frame (from STA2) carries</w:t>
      </w:r>
      <w:r>
        <w:t xml:space="preserve"> necessary information for the SRP mode (including SR parameters, </w:t>
      </w:r>
      <w:r w:rsidRPr="00995DB2">
        <w:t xml:space="preserve">OBSS </w:t>
      </w:r>
      <w:proofErr w:type="spellStart"/>
      <w:r>
        <w:t>c</w:t>
      </w:r>
      <w:r w:rsidRPr="00995DB2">
        <w:t>olor</w:t>
      </w:r>
      <w:proofErr w:type="spellEnd"/>
      <w:r>
        <w:t xml:space="preserve"> for the identification of OBSS</w:t>
      </w:r>
      <w:r w:rsidRPr="00995DB2">
        <w:t>, and the uplink duration</w:t>
      </w:r>
      <w:r>
        <w:t>)</w:t>
      </w:r>
      <w:r w:rsidRPr="00995DB2">
        <w:t>.</w:t>
      </w:r>
      <w:r w:rsidR="00ED54E8">
        <w:t xml:space="preserve"> In the above figure,</w:t>
      </w:r>
      <w:r>
        <w:t xml:space="preserve"> </w:t>
      </w:r>
      <w:r w:rsidRPr="00995DB2">
        <w:t>STA3 (SR initiator) can initiate a spatial re-use transmission during the uplink PPDU duration after receiving the SRP</w:t>
      </w:r>
      <w:r w:rsidR="00BE7DC1">
        <w:t>,</w:t>
      </w:r>
      <w:r w:rsidR="00ED54E8">
        <w:t xml:space="preserve"> if the following conditions are met:</w:t>
      </w:r>
    </w:p>
    <w:p w14:paraId="420B03EE" w14:textId="1A8B550C" w:rsidR="00ED54E8" w:rsidRPr="00ED54E8" w:rsidRDefault="00ED54E8" w:rsidP="00ED54E8">
      <w:pPr>
        <w:pStyle w:val="ListParagraph"/>
        <w:numPr>
          <w:ilvl w:val="0"/>
          <w:numId w:val="33"/>
        </w:numPr>
        <w:spacing w:before="120" w:after="0"/>
        <w:rPr>
          <w:lang w:val="en-US"/>
        </w:rPr>
      </w:pPr>
      <w:r w:rsidRPr="00ED54E8">
        <w:rPr>
          <w:lang w:val="en-US"/>
        </w:rPr>
        <w:t xml:space="preserve">STA3 identifies </w:t>
      </w:r>
      <w:r w:rsidR="00BE7DC1">
        <w:rPr>
          <w:lang w:val="en-US"/>
        </w:rPr>
        <w:t xml:space="preserve">that </w:t>
      </w:r>
      <w:r w:rsidRPr="00ED54E8">
        <w:rPr>
          <w:lang w:val="en-US"/>
        </w:rPr>
        <w:t>STA1 and STA2(AP) are OBSS</w:t>
      </w:r>
    </w:p>
    <w:p w14:paraId="3BA2A976" w14:textId="77777777" w:rsidR="00ED54E8" w:rsidRPr="00ED54E8" w:rsidRDefault="00ED54E8" w:rsidP="00ED54E8">
      <w:pPr>
        <w:pStyle w:val="ListParagraph"/>
        <w:numPr>
          <w:ilvl w:val="0"/>
          <w:numId w:val="33"/>
        </w:numPr>
        <w:spacing w:before="120" w:after="0"/>
        <w:rPr>
          <w:lang w:val="en-US"/>
        </w:rPr>
      </w:pPr>
      <w:r w:rsidRPr="00ED54E8">
        <w:rPr>
          <w:lang w:val="en-US"/>
        </w:rPr>
        <w:t>SR transmission from STA3 satisfies the condition: TX PWR</w:t>
      </w:r>
      <w:r w:rsidRPr="00ED54E8">
        <w:rPr>
          <w:vertAlign w:val="subscript"/>
          <w:lang w:val="en-US"/>
        </w:rPr>
        <w:t>STA3</w:t>
      </w:r>
      <w:r w:rsidRPr="00ED54E8">
        <w:rPr>
          <w:lang w:val="en-US"/>
        </w:rPr>
        <w:t xml:space="preserve"> – Space Loss</w:t>
      </w:r>
      <w:r w:rsidRPr="00ED54E8">
        <w:rPr>
          <w:vertAlign w:val="subscript"/>
          <w:lang w:val="en-US"/>
        </w:rPr>
        <w:t xml:space="preserve">STA3-&gt;STA2(AP)     </w:t>
      </w:r>
      <w:r w:rsidRPr="00ED54E8">
        <w:rPr>
          <w:lang w:val="en-US"/>
        </w:rPr>
        <w:t>&lt;  Acceptable Receiver Interference Level</w:t>
      </w:r>
      <w:r w:rsidRPr="00ED54E8">
        <w:rPr>
          <w:vertAlign w:val="subscript"/>
          <w:lang w:val="en-US"/>
        </w:rPr>
        <w:t>STA2(AP)</w:t>
      </w:r>
      <w:r w:rsidRPr="00ED54E8">
        <w:rPr>
          <w:lang w:val="en-US"/>
        </w:rPr>
        <w:t xml:space="preserve"> </w:t>
      </w:r>
    </w:p>
    <w:p w14:paraId="61BC2DAD" w14:textId="6C1132DC" w:rsidR="00327510" w:rsidRPr="00327510" w:rsidRDefault="005E6C77" w:rsidP="00327510">
      <w:pPr>
        <w:pStyle w:val="Heading1"/>
        <w:keepNext w:val="0"/>
        <w:widowControl w:val="0"/>
        <w:spacing w:before="480" w:after="120"/>
        <w:ind w:left="518" w:hanging="518"/>
        <w:rPr>
          <w:sz w:val="28"/>
        </w:rPr>
      </w:pPr>
      <w:r>
        <w:rPr>
          <w:sz w:val="28"/>
        </w:rPr>
        <w:t xml:space="preserve">Spatial reuse considerations for NR unlicensed </w:t>
      </w:r>
    </w:p>
    <w:p w14:paraId="6AD91C0D" w14:textId="03EDA3BC" w:rsidR="005E6C77" w:rsidRDefault="005E6C77" w:rsidP="00D83E58">
      <w:r>
        <w:t xml:space="preserve">In </w:t>
      </w:r>
      <w:r w:rsidRPr="005E6C77">
        <w:t>cellular systems, usually frequency reuse factor 1 is assumed to maximize the spatial reuse between adjacent networks belonging to the same operator.</w:t>
      </w:r>
      <w:r>
        <w:t xml:space="preserve"> The </w:t>
      </w:r>
      <w:r w:rsidR="00864CF4">
        <w:t xml:space="preserve">throughput gain of frequency reuse factor 1 is apparent from multiple literatures [3]. </w:t>
      </w:r>
      <w:r w:rsidR="002D0367">
        <w:t>On the other hand, i</w:t>
      </w:r>
      <w:r w:rsidR="002D0367" w:rsidRPr="002D0367">
        <w:t xml:space="preserve">n LTE LAA, only ED </w:t>
      </w:r>
      <w:r w:rsidR="00BE7DC1" w:rsidRPr="002D0367">
        <w:t>ha</w:t>
      </w:r>
      <w:r w:rsidR="00BE7DC1">
        <w:t>s</w:t>
      </w:r>
      <w:r w:rsidR="00BE7DC1" w:rsidRPr="002D0367">
        <w:t xml:space="preserve"> </w:t>
      </w:r>
      <w:r w:rsidR="002D0367" w:rsidRPr="002D0367">
        <w:t>been used, which does not distinguish signals from different operators using LAA system or from different systems (i.e., non-LAA)</w:t>
      </w:r>
      <w:r w:rsidR="0092588B">
        <w:t xml:space="preserve"> [4]</w:t>
      </w:r>
      <w:r w:rsidR="002D0367" w:rsidRPr="002D0367">
        <w:t xml:space="preserve">. </w:t>
      </w:r>
      <w:r w:rsidR="00D310DB">
        <w:t>The current ED mechanism that does not distinguish the same operator signal or the same system signal can be overly conservative in a dense deploymen</w:t>
      </w:r>
      <w:r w:rsidR="00613F2F">
        <w:t xml:space="preserve">t and thus make it difficult for NR-unlicensed to achieve higher spatial reuse. </w:t>
      </w:r>
    </w:p>
    <w:p w14:paraId="0BE02B17" w14:textId="1A62CC31" w:rsidR="00613F2F" w:rsidRPr="0050613C" w:rsidRDefault="00613F2F" w:rsidP="00613F2F">
      <w:pPr>
        <w:spacing w:before="240" w:after="240"/>
        <w:rPr>
          <w:b/>
          <w:szCs w:val="20"/>
          <w:lang w:val="en-US"/>
        </w:rPr>
      </w:pPr>
      <w:r>
        <w:rPr>
          <w:b/>
          <w:szCs w:val="20"/>
          <w:lang w:val="en-US"/>
        </w:rPr>
        <w:t>Observation 1</w:t>
      </w:r>
      <w:r w:rsidRPr="00BF4801">
        <w:rPr>
          <w:b/>
          <w:szCs w:val="20"/>
          <w:lang w:val="en-US"/>
        </w:rPr>
        <w:t xml:space="preserve">: </w:t>
      </w:r>
      <w:r w:rsidRPr="00613F2F">
        <w:rPr>
          <w:b/>
          <w:szCs w:val="20"/>
          <w:lang w:val="en-US"/>
        </w:rPr>
        <w:t>The current ED mechanism that does not distinguish the same operator signal or the same system signal can be overly conservative in a dense deployment and thus make it difficult for NR-unlicensed to achieve higher spatial reuse</w:t>
      </w:r>
      <w:r>
        <w:rPr>
          <w:b/>
          <w:szCs w:val="20"/>
          <w:lang w:val="en-US"/>
        </w:rPr>
        <w:t xml:space="preserve">. </w:t>
      </w:r>
    </w:p>
    <w:p w14:paraId="5F202E40" w14:textId="1BD3EFF8" w:rsidR="00613F2F" w:rsidRPr="002D0367" w:rsidRDefault="004E71F8" w:rsidP="00D83E58">
      <w:pPr>
        <w:rPr>
          <w:lang w:val="en-US"/>
        </w:rPr>
      </w:pPr>
      <w:r>
        <w:rPr>
          <w:lang w:val="en-US"/>
        </w:rPr>
        <w:t xml:space="preserve">Indeed, </w:t>
      </w:r>
      <w:r w:rsidR="00427875">
        <w:rPr>
          <w:lang w:val="en-US"/>
        </w:rPr>
        <w:t>the above observation leads to the motivation of</w:t>
      </w:r>
      <w:r w:rsidR="00427875" w:rsidRPr="00427875">
        <w:rPr>
          <w:lang w:val="en-US"/>
        </w:rPr>
        <w:t xml:space="preserve"> the introduction of preamble</w:t>
      </w:r>
      <w:r w:rsidR="00427875">
        <w:rPr>
          <w:lang w:val="en-US"/>
        </w:rPr>
        <w:t xml:space="preserve"> signals</w:t>
      </w:r>
      <w:r w:rsidR="00427875" w:rsidRPr="00427875">
        <w:rPr>
          <w:lang w:val="en-US"/>
        </w:rPr>
        <w:t xml:space="preserve"> for NR-unlicensed. Then</w:t>
      </w:r>
      <w:r w:rsidR="00F3644E">
        <w:rPr>
          <w:lang w:val="en-US"/>
        </w:rPr>
        <w:t xml:space="preserve">, the spatial reuse design for NR-unlicensed can naturally resemble that of IEEE 802.11ax. </w:t>
      </w:r>
    </w:p>
    <w:p w14:paraId="2AA8F324" w14:textId="4D3A37E1" w:rsidR="00ED5C2A" w:rsidRDefault="00F3644E" w:rsidP="00F3644E">
      <w:pPr>
        <w:spacing w:before="240" w:after="240"/>
        <w:rPr>
          <w:b/>
          <w:szCs w:val="20"/>
          <w:lang w:val="en-US"/>
        </w:rPr>
      </w:pPr>
      <w:r>
        <w:rPr>
          <w:b/>
          <w:szCs w:val="20"/>
          <w:lang w:val="en-US"/>
        </w:rPr>
        <w:t>Observation 2</w:t>
      </w:r>
      <w:r w:rsidRPr="00BF4801">
        <w:rPr>
          <w:b/>
          <w:szCs w:val="20"/>
          <w:lang w:val="en-US"/>
        </w:rPr>
        <w:t xml:space="preserve">: </w:t>
      </w:r>
      <w:r w:rsidRPr="00613F2F">
        <w:rPr>
          <w:b/>
          <w:szCs w:val="20"/>
          <w:lang w:val="en-US"/>
        </w:rPr>
        <w:t>The</w:t>
      </w:r>
      <w:r>
        <w:rPr>
          <w:b/>
          <w:szCs w:val="20"/>
          <w:lang w:val="en-US"/>
        </w:rPr>
        <w:t xml:space="preserve"> introduction of preamble signals for NR-unlicensed is further motivated for spatial reuse</w:t>
      </w:r>
      <w:r w:rsidR="00BE7DC1">
        <w:rPr>
          <w:b/>
          <w:szCs w:val="20"/>
          <w:lang w:val="en-US"/>
        </w:rPr>
        <w:t>,</w:t>
      </w:r>
      <w:r w:rsidR="00ED5C2A">
        <w:rPr>
          <w:b/>
          <w:szCs w:val="20"/>
          <w:lang w:val="en-US"/>
        </w:rPr>
        <w:t xml:space="preserve"> as the NR-unlicensed spatial reuse scheme can be based on that of IEEE 802.11ax.</w:t>
      </w:r>
    </w:p>
    <w:p w14:paraId="684EF03A" w14:textId="4D7E9319" w:rsidR="005E6C77" w:rsidRPr="00ED5C2A" w:rsidRDefault="005B0BCF" w:rsidP="00D83E58">
      <w:pPr>
        <w:rPr>
          <w:lang w:val="en-US"/>
        </w:rPr>
      </w:pPr>
      <w:r>
        <w:rPr>
          <w:lang w:val="en-US"/>
        </w:rPr>
        <w:t xml:space="preserve">Nonetheless, </w:t>
      </w:r>
      <w:r w:rsidR="00882AB8">
        <w:rPr>
          <w:lang w:val="en-US"/>
        </w:rPr>
        <w:t xml:space="preserve">NR-unlicensed spatial reuse scheme can be built on top of existing ED mechanism by augmenting a mechanism that enables to distinguish a signal from the same operator (or same NR-unlicensed system) from other operators (or other non-NR-unlicensed systems). </w:t>
      </w:r>
      <w:r w:rsidR="00B26A0B">
        <w:rPr>
          <w:lang w:val="en-US"/>
        </w:rPr>
        <w:t xml:space="preserve">With this distinction, the aggregated ED level can be adjusted by </w:t>
      </w:r>
      <w:r w:rsidR="000F3A8D">
        <w:rPr>
          <w:lang w:val="en-US"/>
        </w:rPr>
        <w:t xml:space="preserve">subtracting the energy level detected from its own operator (or the same system). The adjusted ED level can then </w:t>
      </w:r>
      <w:r w:rsidR="00BE7DC1">
        <w:rPr>
          <w:lang w:val="en-US"/>
        </w:rPr>
        <w:t xml:space="preserve">be </w:t>
      </w:r>
      <w:r w:rsidR="000F3A8D">
        <w:rPr>
          <w:lang w:val="en-US"/>
        </w:rPr>
        <w:t xml:space="preserve">compared with the </w:t>
      </w:r>
      <w:r w:rsidR="007307E7">
        <w:rPr>
          <w:lang w:val="en-US"/>
        </w:rPr>
        <w:t xml:space="preserve">ED threshold [4]. </w:t>
      </w:r>
    </w:p>
    <w:p w14:paraId="3762E027" w14:textId="77777777" w:rsidR="005E6C77" w:rsidRDefault="005E6C77" w:rsidP="00D83E58"/>
    <w:p w14:paraId="673DF981" w14:textId="77777777" w:rsidR="005E6C77" w:rsidRDefault="005E6C77" w:rsidP="00D83E58"/>
    <w:p w14:paraId="4F99B2B0" w14:textId="77777777" w:rsidR="005E6C77" w:rsidRDefault="005E6C77" w:rsidP="00D83E58"/>
    <w:p w14:paraId="5668E832" w14:textId="41897592" w:rsidR="005E6C77" w:rsidRDefault="00ED5C2A" w:rsidP="00ED5C2A">
      <w:pPr>
        <w:jc w:val="center"/>
      </w:pPr>
      <w:r w:rsidRPr="00ED5C2A">
        <w:rPr>
          <w:noProof/>
          <w:lang w:val="en-US" w:eastAsia="ko-KR"/>
        </w:rPr>
        <w:lastRenderedPageBreak/>
        <w:drawing>
          <wp:inline distT="0" distB="0" distL="0" distR="0" wp14:anchorId="51703330" wp14:editId="6AD2E6E5">
            <wp:extent cx="3720303" cy="1036834"/>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3747109" cy="1044305"/>
                    </a:xfrm>
                    <a:prstGeom prst="rect">
                      <a:avLst/>
                    </a:prstGeom>
                  </pic:spPr>
                </pic:pic>
              </a:graphicData>
            </a:graphic>
          </wp:inline>
        </w:drawing>
      </w:r>
    </w:p>
    <w:p w14:paraId="017BA4C1" w14:textId="77777777" w:rsidR="00ED5C2A" w:rsidRDefault="00ED5C2A" w:rsidP="00ED5C2A">
      <w:pPr>
        <w:jc w:val="center"/>
      </w:pPr>
    </w:p>
    <w:p w14:paraId="1D167462" w14:textId="4C7BD196" w:rsidR="00ED5C2A" w:rsidRPr="00F44156" w:rsidRDefault="00ED5C2A" w:rsidP="00ED5C2A">
      <w:pPr>
        <w:pStyle w:val="ListParagraph"/>
        <w:spacing w:before="120" w:after="0"/>
        <w:ind w:left="0"/>
        <w:jc w:val="center"/>
        <w:rPr>
          <w:b/>
        </w:rPr>
      </w:pPr>
      <w:r w:rsidRPr="00F44156">
        <w:rPr>
          <w:b/>
        </w:rPr>
        <w:t xml:space="preserve">Figure </w:t>
      </w:r>
      <w:r>
        <w:rPr>
          <w:b/>
        </w:rPr>
        <w:t>4</w:t>
      </w:r>
      <w:r w:rsidRPr="00F44156">
        <w:rPr>
          <w:b/>
        </w:rPr>
        <w:t xml:space="preserve">. </w:t>
      </w:r>
      <w:r>
        <w:rPr>
          <w:b/>
        </w:rPr>
        <w:t xml:space="preserve">Distinction of a signal from same operator/same system from others </w:t>
      </w:r>
    </w:p>
    <w:p w14:paraId="11A0B356" w14:textId="77777777" w:rsidR="005E6C77" w:rsidRDefault="005E6C77" w:rsidP="00D83E58"/>
    <w:p w14:paraId="5D0CB6AB" w14:textId="21764CD3" w:rsidR="005E6C77" w:rsidRDefault="007307E7" w:rsidP="00D83E58">
      <w:r>
        <w:t xml:space="preserve">To distinguish a signal from </w:t>
      </w:r>
      <w:r w:rsidR="00BE7DC1">
        <w:t xml:space="preserve">the </w:t>
      </w:r>
      <w:r>
        <w:t>same operator (or same system</w:t>
      </w:r>
      <w:r w:rsidR="00D44A44">
        <w:t xml:space="preserve">), it is necessary to introduce a mechanism for distinction. Such mechanism can be appending some </w:t>
      </w:r>
      <w:r w:rsidR="00C70B2D">
        <w:t xml:space="preserve">known </w:t>
      </w:r>
      <w:r w:rsidR="00D44A44">
        <w:t>signal</w:t>
      </w:r>
      <w:r w:rsidR="00C70B2D">
        <w:t>, e.g., sequence,</w:t>
      </w:r>
      <w:r w:rsidR="00D44A44">
        <w:t xml:space="preserve"> in the beginning of each transmission such as PSS/SSS </w:t>
      </w:r>
      <w:r w:rsidR="00C70B2D">
        <w:t xml:space="preserve">that allows to derive PCID. Alternatively, the existing NR reference signals can be used for the RSRP measurement </w:t>
      </w:r>
      <w:r w:rsidR="009F08F6">
        <w:t>from its own network along with</w:t>
      </w:r>
      <w:r w:rsidR="00BE7DC1">
        <w:t xml:space="preserve"> the</w:t>
      </w:r>
      <w:r w:rsidR="009F08F6">
        <w:t xml:space="preserve"> distinction. </w:t>
      </w:r>
    </w:p>
    <w:p w14:paraId="35757AC0" w14:textId="28FCF9D6" w:rsidR="00FD3B22" w:rsidRPr="00BB5AC3" w:rsidRDefault="009F08F6" w:rsidP="00BB5AC3">
      <w:pPr>
        <w:spacing w:before="240" w:after="240"/>
        <w:rPr>
          <w:b/>
          <w:szCs w:val="20"/>
          <w:lang w:val="en-US"/>
        </w:rPr>
      </w:pPr>
      <w:r>
        <w:rPr>
          <w:b/>
          <w:szCs w:val="20"/>
          <w:lang w:val="en-US"/>
        </w:rPr>
        <w:t>Proposal 1</w:t>
      </w:r>
      <w:r w:rsidRPr="00BF4801">
        <w:rPr>
          <w:b/>
          <w:szCs w:val="20"/>
          <w:lang w:val="en-US"/>
        </w:rPr>
        <w:t xml:space="preserve">: </w:t>
      </w:r>
      <w:r>
        <w:rPr>
          <w:b/>
          <w:szCs w:val="20"/>
          <w:lang w:val="en-US"/>
        </w:rPr>
        <w:t xml:space="preserve">A mechanism to distinguish its own network signal is studied for NR-unlicensed spatial reuse. </w:t>
      </w:r>
      <w:r w:rsidR="00B46512">
        <w:rPr>
          <w:b/>
          <w:szCs w:val="20"/>
          <w:lang w:val="en-US"/>
        </w:rPr>
        <w:t xml:space="preserve">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238F967D" w14:textId="0F46A411" w:rsidR="00706604" w:rsidRDefault="00CA44F8" w:rsidP="009F08F6">
      <w:pPr>
        <w:overflowPunct w:val="0"/>
        <w:autoSpaceDE w:val="0"/>
        <w:autoSpaceDN w:val="0"/>
        <w:adjustRightInd w:val="0"/>
        <w:spacing w:after="0"/>
        <w:jc w:val="left"/>
        <w:rPr>
          <w:bCs/>
          <w:lang w:val="en-US"/>
        </w:rPr>
      </w:pPr>
      <w:r>
        <w:t>In this contribution,</w:t>
      </w:r>
      <w:r w:rsidR="002979F8">
        <w:t xml:space="preserve"> spatial reuse aspect of NR-unlicensed was discussed as a potential area for study. The following observations and proposal are made:</w:t>
      </w:r>
    </w:p>
    <w:p w14:paraId="2410E676" w14:textId="77777777" w:rsidR="002979F8" w:rsidRDefault="002979F8" w:rsidP="009F08F6">
      <w:pPr>
        <w:overflowPunct w:val="0"/>
        <w:autoSpaceDE w:val="0"/>
        <w:autoSpaceDN w:val="0"/>
        <w:adjustRightInd w:val="0"/>
        <w:spacing w:after="0"/>
        <w:jc w:val="left"/>
        <w:rPr>
          <w:bCs/>
          <w:lang w:val="en-US"/>
        </w:rPr>
      </w:pPr>
    </w:p>
    <w:p w14:paraId="474C74A8" w14:textId="42479ECA" w:rsidR="002979F8" w:rsidRPr="002979F8" w:rsidRDefault="002979F8" w:rsidP="002979F8">
      <w:pPr>
        <w:spacing w:before="240" w:after="240"/>
        <w:rPr>
          <w:b/>
          <w:szCs w:val="20"/>
          <w:lang w:val="en-US"/>
        </w:rPr>
      </w:pPr>
      <w:r>
        <w:rPr>
          <w:b/>
          <w:szCs w:val="20"/>
          <w:lang w:val="en-US"/>
        </w:rPr>
        <w:t>Observation 1</w:t>
      </w:r>
      <w:r w:rsidRPr="00BF4801">
        <w:rPr>
          <w:b/>
          <w:szCs w:val="20"/>
          <w:lang w:val="en-US"/>
        </w:rPr>
        <w:t xml:space="preserve">: </w:t>
      </w:r>
      <w:r w:rsidRPr="00613F2F">
        <w:rPr>
          <w:b/>
          <w:szCs w:val="20"/>
          <w:lang w:val="en-US"/>
        </w:rPr>
        <w:t>The current ED mechanism that does not distinguish the same operator signal or the same system signal can be overly conservative in a dense deployment and thus make it difficult for NR-unlicensed to achieve higher spatial reuse</w:t>
      </w:r>
      <w:r>
        <w:rPr>
          <w:b/>
          <w:szCs w:val="20"/>
          <w:lang w:val="en-US"/>
        </w:rPr>
        <w:t xml:space="preserve">. </w:t>
      </w:r>
    </w:p>
    <w:p w14:paraId="005917B6" w14:textId="6810BA10" w:rsidR="002979F8" w:rsidRPr="002979F8" w:rsidRDefault="002979F8" w:rsidP="002979F8">
      <w:pPr>
        <w:spacing w:before="240" w:after="240"/>
        <w:rPr>
          <w:b/>
          <w:szCs w:val="20"/>
          <w:lang w:val="en-US"/>
        </w:rPr>
      </w:pPr>
      <w:r>
        <w:rPr>
          <w:b/>
          <w:szCs w:val="20"/>
          <w:lang w:val="en-US"/>
        </w:rPr>
        <w:t>Observation 2</w:t>
      </w:r>
      <w:r w:rsidRPr="00BF4801">
        <w:rPr>
          <w:b/>
          <w:szCs w:val="20"/>
          <w:lang w:val="en-US"/>
        </w:rPr>
        <w:t xml:space="preserve">: </w:t>
      </w:r>
      <w:r w:rsidRPr="00613F2F">
        <w:rPr>
          <w:b/>
          <w:szCs w:val="20"/>
          <w:lang w:val="en-US"/>
        </w:rPr>
        <w:t>The</w:t>
      </w:r>
      <w:r>
        <w:rPr>
          <w:b/>
          <w:szCs w:val="20"/>
          <w:lang w:val="en-US"/>
        </w:rPr>
        <w:t xml:space="preserve"> introduction of preamble signals for NR-unlicensed is further motivated for spatial reuse, as the NR-unlicensed spatial reuse scheme can be based on that of IEEE 802.11ax.</w:t>
      </w:r>
    </w:p>
    <w:p w14:paraId="3765FEE1" w14:textId="63DC8977" w:rsidR="002979F8" w:rsidRPr="00C614AA" w:rsidRDefault="002979F8" w:rsidP="002979F8">
      <w:pPr>
        <w:spacing w:before="240" w:after="240"/>
        <w:rPr>
          <w:b/>
          <w:szCs w:val="20"/>
          <w:lang w:val="en-US"/>
        </w:rPr>
      </w:pPr>
      <w:r>
        <w:rPr>
          <w:b/>
          <w:szCs w:val="20"/>
          <w:lang w:val="en-US"/>
        </w:rPr>
        <w:t>Proposal 1</w:t>
      </w:r>
      <w:r w:rsidRPr="00BF4801">
        <w:rPr>
          <w:b/>
          <w:szCs w:val="20"/>
          <w:lang w:val="en-US"/>
        </w:rPr>
        <w:t xml:space="preserve">: </w:t>
      </w:r>
      <w:r>
        <w:rPr>
          <w:b/>
          <w:szCs w:val="20"/>
          <w:lang w:val="en-US"/>
        </w:rPr>
        <w:t xml:space="preserve">A mechanism to distinguish its own network signal is studied for NR-unlicensed spatial reuse.  </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E453403" w14:textId="4EAF1CC4" w:rsidR="007F490A" w:rsidRDefault="00396B04" w:rsidP="00F651F0">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 xml:space="preserve">3GPP TSG RAN WG1 Meeting #92bis, </w:t>
      </w:r>
      <w:r w:rsidR="00BE7DC1">
        <w:rPr>
          <w:rFonts w:ascii="Times New Roman" w:hAnsi="Times New Roman"/>
        </w:rPr>
        <w:t>Apr.</w:t>
      </w:r>
      <w:r w:rsidR="00F770AA">
        <w:rPr>
          <w:rFonts w:ascii="Times New Roman" w:hAnsi="Times New Roman"/>
        </w:rPr>
        <w:t>, 2018.</w:t>
      </w:r>
    </w:p>
    <w:p w14:paraId="641B7675" w14:textId="2EEF7142" w:rsidR="000047B3" w:rsidRPr="00383414" w:rsidRDefault="000047B3" w:rsidP="000047B3">
      <w:pPr>
        <w:pStyle w:val="BodyText"/>
        <w:overflowPunct w:val="0"/>
        <w:ind w:left="420" w:hanging="240"/>
        <w:textAlignment w:val="baseline"/>
      </w:pPr>
      <w:r>
        <w:rPr>
          <w:rFonts w:ascii="Times New Roman" w:hAnsi="Times New Roman"/>
        </w:rPr>
        <w:t xml:space="preserve">[2] </w:t>
      </w:r>
      <w:r>
        <w:t>IEEE P802.11ax</w:t>
      </w:r>
      <w:r w:rsidRPr="00E817B1">
        <w:rPr>
          <w:vertAlign w:val="superscript"/>
        </w:rPr>
        <w:t>TM</w:t>
      </w:r>
      <w:r>
        <w:t xml:space="preserve">/D2.2, Part 11: Wireless LAN Medium Access Control (MAC) and Physical Layer (PHY) Specifications, Amendment 6: Enhancements for High Efficiency WLAN, </w:t>
      </w:r>
      <w:r w:rsidR="00BE7DC1">
        <w:t>Feb.</w:t>
      </w:r>
      <w:r>
        <w:t>, 2018</w:t>
      </w:r>
    </w:p>
    <w:p w14:paraId="73FCC177" w14:textId="2934EFAB" w:rsidR="00864CF4" w:rsidRPr="00383414" w:rsidRDefault="00864CF4" w:rsidP="00864CF4">
      <w:pPr>
        <w:pStyle w:val="BodyText"/>
        <w:overflowPunct w:val="0"/>
        <w:ind w:left="420" w:hanging="240"/>
        <w:textAlignment w:val="baseline"/>
      </w:pPr>
      <w:r>
        <w:rPr>
          <w:rFonts w:ascii="Times New Roman" w:hAnsi="Times New Roman"/>
        </w:rPr>
        <w:t>[</w:t>
      </w:r>
      <w:r w:rsidR="00CB694B">
        <w:rPr>
          <w:rFonts w:ascii="Times New Roman" w:hAnsi="Times New Roman"/>
        </w:rPr>
        <w:t>3</w:t>
      </w:r>
      <w:r>
        <w:rPr>
          <w:rFonts w:ascii="Times New Roman" w:hAnsi="Times New Roman"/>
        </w:rPr>
        <w:t xml:space="preserve">] J. Jeon, K. Son, </w:t>
      </w:r>
      <w:r w:rsidR="008E205A">
        <w:rPr>
          <w:rFonts w:ascii="Times New Roman" w:hAnsi="Times New Roman"/>
        </w:rPr>
        <w:t xml:space="preserve">and </w:t>
      </w:r>
      <w:r>
        <w:rPr>
          <w:rFonts w:ascii="Times New Roman" w:hAnsi="Times New Roman"/>
        </w:rPr>
        <w:t>S. Chong, “</w:t>
      </w:r>
      <w:r>
        <w:rPr>
          <w:rStyle w:val="ng-binding"/>
        </w:rPr>
        <w:t>Spatial Resource Reuse in the Multi-Hop Cellular Networks: Difficulties and Benefits</w:t>
      </w:r>
      <w:r w:rsidR="00CB694B">
        <w:rPr>
          <w:rStyle w:val="ng-binding"/>
        </w:rPr>
        <w:t>,</w:t>
      </w:r>
      <w:r>
        <w:rPr>
          <w:rFonts w:ascii="Times New Roman" w:hAnsi="Times New Roman"/>
        </w:rPr>
        <w:t>”</w:t>
      </w:r>
      <w:r w:rsidR="00CB694B">
        <w:rPr>
          <w:rFonts w:ascii="Times New Roman" w:hAnsi="Times New Roman"/>
        </w:rPr>
        <w:t xml:space="preserve"> IEEE GLOBECOM </w:t>
      </w:r>
      <w:r w:rsidR="008E205A">
        <w:rPr>
          <w:rFonts w:ascii="Times New Roman" w:hAnsi="Times New Roman"/>
        </w:rPr>
        <w:t>2008, New Orleans, USA, Dec.</w:t>
      </w:r>
      <w:r w:rsidR="00CB694B">
        <w:rPr>
          <w:rFonts w:ascii="Times New Roman" w:hAnsi="Times New Roman"/>
        </w:rPr>
        <w:t xml:space="preserve">, 2008. </w:t>
      </w:r>
    </w:p>
    <w:p w14:paraId="2718EA6E" w14:textId="237CF1A0" w:rsidR="0050700A" w:rsidRPr="009A0431" w:rsidRDefault="00C936AA" w:rsidP="009A0431">
      <w:pPr>
        <w:pStyle w:val="BodyText"/>
        <w:overflowPunct w:val="0"/>
        <w:ind w:left="420" w:hanging="240"/>
        <w:textAlignment w:val="baseline"/>
      </w:pPr>
      <w:r>
        <w:rPr>
          <w:rFonts w:ascii="Times New Roman" w:hAnsi="Times New Roman"/>
        </w:rPr>
        <w:t xml:space="preserve">[4] </w:t>
      </w:r>
      <w:r w:rsidR="008E205A">
        <w:rPr>
          <w:rFonts w:ascii="Times New Roman" w:hAnsi="Times New Roman"/>
        </w:rPr>
        <w:t xml:space="preserve">H.-J. Kwon, </w:t>
      </w:r>
      <w:r>
        <w:rPr>
          <w:rFonts w:ascii="Times New Roman" w:hAnsi="Times New Roman"/>
        </w:rPr>
        <w:t xml:space="preserve">J. Jeon, </w:t>
      </w:r>
      <w:r w:rsidR="008E205A">
        <w:rPr>
          <w:rFonts w:ascii="Times New Roman" w:hAnsi="Times New Roman"/>
        </w:rPr>
        <w:t xml:space="preserve">A. Bhorkar, Q. Ye, H. Harada, Y. Jiang, L. Liu, S. Nagata, B. L. Ng, T. Novlan, J. Oh, W. Yi, </w:t>
      </w:r>
      <w:r>
        <w:rPr>
          <w:rFonts w:ascii="Times New Roman" w:hAnsi="Times New Roman"/>
        </w:rPr>
        <w:t>“</w:t>
      </w:r>
      <w:r w:rsidR="008E205A">
        <w:rPr>
          <w:rStyle w:val="ng-binding"/>
        </w:rPr>
        <w:t>Licensed-Assisted Access to Unlicensed Spectrum in LTE Release 13</w:t>
      </w:r>
      <w:r>
        <w:rPr>
          <w:rStyle w:val="ng-binding"/>
        </w:rPr>
        <w:t>,</w:t>
      </w:r>
      <w:r>
        <w:rPr>
          <w:rFonts w:ascii="Times New Roman" w:hAnsi="Times New Roman"/>
        </w:rPr>
        <w:t xml:space="preserve">” IEEE </w:t>
      </w:r>
      <w:r w:rsidR="008E205A">
        <w:rPr>
          <w:rFonts w:ascii="Times New Roman" w:hAnsi="Times New Roman"/>
        </w:rPr>
        <w:t xml:space="preserve">Communications Magazine, Vol. 55, Issue 2, Feb., 2017. </w:t>
      </w:r>
    </w:p>
    <w:sectPr w:rsidR="0050700A" w:rsidRPr="009A0431"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17C76" w14:textId="77777777" w:rsidR="008D2BD9" w:rsidRDefault="008D2BD9"/>
  </w:endnote>
  <w:endnote w:type="continuationSeparator" w:id="0">
    <w:p w14:paraId="5660DDE3" w14:textId="77777777" w:rsidR="008D2BD9" w:rsidRDefault="008D2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35605" w14:textId="77777777" w:rsidR="008D2BD9" w:rsidRDefault="008D2BD9"/>
  </w:footnote>
  <w:footnote w:type="continuationSeparator" w:id="0">
    <w:p w14:paraId="0894BE8C" w14:textId="77777777" w:rsidR="008D2BD9" w:rsidRDefault="008D2B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3"/>
  </w:num>
  <w:num w:numId="4">
    <w:abstractNumId w:val="0"/>
  </w:num>
  <w:num w:numId="5">
    <w:abstractNumId w:val="21"/>
  </w:num>
  <w:num w:numId="6">
    <w:abstractNumId w:val="5"/>
  </w:num>
  <w:num w:numId="7">
    <w:abstractNumId w:val="10"/>
  </w:num>
  <w:num w:numId="8">
    <w:abstractNumId w:val="15"/>
  </w:num>
  <w:num w:numId="9">
    <w:abstractNumId w:val="13"/>
  </w:num>
  <w:num w:numId="10">
    <w:abstractNumId w:val="8"/>
  </w:num>
  <w:num w:numId="11">
    <w:abstractNumId w:val="25"/>
  </w:num>
  <w:num w:numId="12">
    <w:abstractNumId w:val="1"/>
  </w:num>
  <w:num w:numId="13">
    <w:abstractNumId w:val="14"/>
  </w:num>
  <w:num w:numId="14">
    <w:abstractNumId w:val="9"/>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num>
  <w:num w:numId="19">
    <w:abstractNumId w:val="27"/>
  </w:num>
  <w:num w:numId="20">
    <w:abstractNumId w:val="26"/>
  </w:num>
  <w:num w:numId="21">
    <w:abstractNumId w:val="20"/>
  </w:num>
  <w:num w:numId="22">
    <w:abstractNumId w:val="18"/>
  </w:num>
  <w:num w:numId="23">
    <w:abstractNumId w:val="28"/>
  </w:num>
  <w:num w:numId="24">
    <w:abstractNumId w:val="6"/>
  </w:num>
  <w:num w:numId="25">
    <w:abstractNumId w:val="7"/>
  </w:num>
  <w:num w:numId="26">
    <w:abstractNumId w:val="31"/>
  </w:num>
  <w:num w:numId="27">
    <w:abstractNumId w:val="24"/>
  </w:num>
  <w:num w:numId="28">
    <w:abstractNumId w:val="19"/>
  </w:num>
  <w:num w:numId="29">
    <w:abstractNumId w:val="11"/>
  </w:num>
  <w:num w:numId="30">
    <w:abstractNumId w:val="23"/>
  </w:num>
  <w:num w:numId="31">
    <w:abstractNumId w:val="29"/>
  </w:num>
  <w:num w:numId="32">
    <w:abstractNumId w:val="17"/>
  </w:num>
  <w:num w:numId="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9F8"/>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2A1"/>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8AA"/>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BB2"/>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65"/>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36"/>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2BD9"/>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4FE5"/>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C1"/>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BD2"/>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AA520A-0BE0-4718-846D-0A7C024A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TotalTime>
  <Pages>4</Pages>
  <Words>1342</Words>
  <Characters>7383</Characters>
  <Application>Microsoft Office Word</Application>
  <DocSecurity>0</DocSecurity>
  <Lines>131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8790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7</cp:revision>
  <cp:lastPrinted>2017-10-24T05:18:00Z</cp:lastPrinted>
  <dcterms:created xsi:type="dcterms:W3CDTF">2018-05-11T22:34:00Z</dcterms:created>
  <dcterms:modified xsi:type="dcterms:W3CDTF">2018-08-11T02:01:00Z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32065250-1b58-4739-bf84-a707a2797f17</vt:lpwstr>
  </property>
  <property fmtid="{D5CDD505-2E9C-101B-9397-08002B2CF9AE}" pid="3" name="CTP_TimeStamp">
    <vt:lpwstr>2018-08-11 02:01:40Z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